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E82B" w14:textId="0342370B" w:rsidR="00AB7CB3" w:rsidRPr="00097001" w:rsidRDefault="007E50C4" w:rsidP="008300E0">
      <w:pPr>
        <w:jc w:val="center"/>
        <w:rPr>
          <w:b/>
        </w:rPr>
      </w:pPr>
      <w:r w:rsidRPr="00097001">
        <w:rPr>
          <w:b/>
        </w:rPr>
        <w:t>Supplementary Methods.</w:t>
      </w:r>
    </w:p>
    <w:p w14:paraId="699138F0" w14:textId="77777777" w:rsidR="007E50C4" w:rsidRPr="00097001" w:rsidRDefault="007E50C4"/>
    <w:p w14:paraId="1E464B09" w14:textId="08319274" w:rsidR="007E50C4" w:rsidRPr="00097001" w:rsidRDefault="00ED72DB">
      <w:pPr>
        <w:rPr>
          <w:b/>
        </w:rPr>
      </w:pPr>
      <w:r w:rsidRPr="00097001">
        <w:rPr>
          <w:b/>
        </w:rPr>
        <w:t>Computing Disease-COPD distances based on genes and pathways.</w:t>
      </w:r>
    </w:p>
    <w:p w14:paraId="3760682E" w14:textId="6A77B300" w:rsidR="006A11A6" w:rsidRPr="00097001" w:rsidRDefault="006A11A6" w:rsidP="006A11A6">
      <w:pPr>
        <w:jc w:val="both"/>
      </w:pPr>
      <w:r w:rsidRPr="00097001">
        <w:t>In several steps we discarded distances that were considered as outliers and merged those that were very similar; the underlying idea was to obtain a robust set of distances that combined co-occurrence, gene and pathway based distances.</w:t>
      </w:r>
    </w:p>
    <w:p w14:paraId="08897565" w14:textId="4580913A" w:rsidR="006A11A6" w:rsidRPr="00097001" w:rsidRDefault="006A11A6" w:rsidP="006A11A6">
      <w:pPr>
        <w:ind w:left="142" w:hanging="142"/>
        <w:jc w:val="both"/>
      </w:pPr>
      <w:r w:rsidRPr="00097001">
        <w:rPr>
          <w:u w:val="single"/>
        </w:rPr>
        <w:t>Step 1</w:t>
      </w:r>
      <w:r w:rsidRPr="00097001">
        <w:t xml:space="preserve">: For each measurement we ranked the DG-COPD associations as shown in </w:t>
      </w:r>
      <w:r w:rsidRPr="00097001">
        <w:rPr>
          <w:b/>
        </w:rPr>
        <w:t>Fig. S</w:t>
      </w:r>
      <w:r w:rsidR="00F548A6" w:rsidRPr="00097001">
        <w:rPr>
          <w:b/>
        </w:rPr>
        <w:t>6</w:t>
      </w:r>
      <w:r w:rsidRPr="00097001">
        <w:t xml:space="preserve">. For </w:t>
      </w:r>
      <w:r w:rsidR="00FE103D" w:rsidRPr="00097001">
        <w:t>instance,</w:t>
      </w:r>
      <w:r w:rsidRPr="00097001">
        <w:t xml:space="preserve"> DG_8 (DG12) appears high (low) in most measurements; when considering no co-occurrence measurements we observe high correlation between rankings. We observed that </w:t>
      </w:r>
      <w:r w:rsidRPr="00097001">
        <w:rPr>
          <w:i/>
        </w:rPr>
        <w:t>RR</w:t>
      </w:r>
      <w:r w:rsidRPr="00097001">
        <w:t xml:space="preserve"> and </w:t>
      </w:r>
      <w:r w:rsidRPr="00097001">
        <w:sym w:font="Symbol" w:char="F046"/>
      </w:r>
      <w:r w:rsidRPr="00097001">
        <w:t xml:space="preserve"> do not correlate in many cases (as expected</w:t>
      </w:r>
      <w:r w:rsidR="002E7707" w:rsidRPr="00097001">
        <w:t xml:space="preserve"> </w:t>
      </w:r>
      <w:r w:rsidR="002E7707" w:rsidRPr="00097001">
        <w:fldChar w:fldCharType="begin" w:fldLock="1"/>
      </w:r>
      <w:r w:rsidR="002E7707" w:rsidRPr="00097001">
        <w:instrText>ADDIN CSL_CITATION { "citationItems" : [ { "id" : "ITEM-1", "itemData" : { "author" : [ { "dropping-particle" : "", "family" : "Cohen", "given" : "Jacob", "non-dropping-particle" : "", "parse-names" : false, "suffix" : "" }, { "dropping-particle" : "", "family" : "Cohen", "given" : "Patricia", "non-dropping-particle" : "", "parse-names" : false, "suffix" : "" }, { "dropping-particle" : "", "family" : "West", "given" : "Stephen G.", "non-dropping-particle" : "", "parse-names" : false, "suffix" : "" }, { "dropping-particle" : "", "family" : "Aiken", "given" : "Leona S.", "non-dropping-particle" : "", "parse-names" : false, "suffix" : "" } ], "id" : "ITEM-1", "issued" : { "date-parts" : [ [ "2002" ] ] }, "publisher" : "Routledge", "title" : "Applied Multiple Regression/Correlation Analysis for the Behavioral Sciences", "type" : "book" }, "uris" : [ "http://www.mendeley.com/documents/?uuid=773bf65f-6b10-432e-be75-ef0588967e8d" ] }, { "id" : "ITEM-2", "itemData" : { "author" : [ { "dropping-particle" : "", "family" : "Katz", "given" : "D.", "non-dropping-particle" : "", "parse-names" : false, "suffix" : "" }, { "dropping-particle" : "", "family" : "J.", "given" : "Baptista", "non-dropping-particle" : "", "parse-names" : false, "suffix" : "" }, { "dropping-particle" : "", "family" : "Azen", "given" : "S.P.", "non-dropping-particle" : "", "parse-names" : false, "suffix" : "" }, { "dropping-particle" : "", "family" : "M.C.", "given" : "Pike", "non-dropping-particle" : "", "parse-names" : false, "suffix" : "" } ], "container-title" : "Biometrics", "id" : "ITEM-2", "issue" : "3", "issued" : { "date-parts" : [ [ "1978" ] ] }, "page" : "469-474", "title" : "Obtaining Confidence Intervals for the Risk Ratio in Cohort Studies", "type" : "article-journal", "volume" : "34" }, "uris" : [ "http://www.mendeley.com/documents/?uuid=e6e907c7-6310-4a40-ac77-eb3d0b47d6a0" ] }, { "id" : "ITEM-3", "itemData" : { "DOI" : "10.1371/journal.pcbi.1000353", "ISBN" : "1553-7358 (Electronic) 1553-734X (Linking)", "ISSN" : "1553-7358", "PMID" : "19360091", "abstract" : "The use of networks to integrate different genetic, proteomic, and metabolic datasets has been proposed as a viable path toward elucidating the origins of specific diseases. Here we introduce a new phenotypic database summarizing correlations obtained from the disease history of more than 30 million patients in a Phenotypic Disease Network (PDN). We present evidence that the structure of the PDN is relevant to the understanding of illness progression by showing that (1) patients develop diseases close in the network to those they already have; (2) the progression of disease along the links of the network is different for patients of different genders and ethnicities; (3) patients diagnosed with diseases which are more highly connected in the PDN tend to die sooner than those affected by less connected diseases; and (4) diseases that tend to be preceded by others in the PDN tend to be more connected than diseases that precede other illnesses, and are associated with higher degrees of mortality. Our findings show that disease progression can be represented and studied using network methods, offering the potential to enhance our understanding of the origin and evolution of human diseases. The dataset introduced here, released concurrently with this publication, represents the largest relational phenotypic resource publicly available to the research community.", "author" : [ { "dropping-particle" : "", "family" : "Hidalgo", "given" : "C\u00e9sar A", "non-dropping-particle" : "", "parse-names" : false, "suffix" : "" }, { "dropping-particle" : "", "family" : "Blumm", "given" : "Nicholas", "non-dropping-particle" : "", "parse-names" : false, "suffix" : "" }, { "dropping-particle" : "", "family" : "Barab\u00e1si", "given" : "Albert-L\u00e1szl\u00f3", "non-dropping-particle" : "", "parse-names" : false, "suffix" : "" }, { "dropping-particle" : "", "family" : "Christakis", "given" : "Nicholas A", "non-dropping-particle" : "", "parse-names" : false, "suffix" : "" } ], "container-title" : "PLoS computational biology", "id" : "ITEM-3", "issue" : "4", "issued" : { "date-parts" : [ [ "2009" ] ] }, "page" : "e1000353", "title" : "A dynamic network approach for the study of human phenotypes.", "type" : "article-journal", "volume" : "5" }, "uris" : [ "http://www.mendeley.com/documents/?uuid=b0341496-c3f3-47f5-986f-03cd74d61032" ] } ], "mendeley" : { "formattedCitation" : "[1\u20133]", "plainTextFormattedCitation" : "[1\u20133]", "previouslyFormattedCitation" : "[1\u20133]" }, "properties" : { "noteIndex" : 0 }, "schema" : "https://github.com/citation-style-language/schema/raw/master/csl-citation.json" }</w:instrText>
      </w:r>
      <w:r w:rsidR="002E7707" w:rsidRPr="00097001">
        <w:fldChar w:fldCharType="separate"/>
      </w:r>
      <w:r w:rsidR="002E7707" w:rsidRPr="00097001">
        <w:rPr>
          <w:noProof/>
        </w:rPr>
        <w:t>[1–3]</w:t>
      </w:r>
      <w:r w:rsidR="002E7707" w:rsidRPr="00097001">
        <w:fldChar w:fldCharType="end"/>
      </w:r>
      <w:r w:rsidRPr="00097001">
        <w:t xml:space="preserve">) but they also do not correlate with </w:t>
      </w:r>
      <w:r w:rsidR="00BB2648" w:rsidRPr="00097001">
        <w:t>non-co-occurrence</w:t>
      </w:r>
      <w:r w:rsidRPr="00097001">
        <w:t xml:space="preserve"> measurements. We did a Principal Component Analysis (PCA, </w:t>
      </w:r>
      <w:r w:rsidRPr="00097001">
        <w:rPr>
          <w:b/>
        </w:rPr>
        <w:t>Fig. S</w:t>
      </w:r>
      <w:r w:rsidR="00F548A6" w:rsidRPr="00097001">
        <w:rPr>
          <w:b/>
        </w:rPr>
        <w:t>7</w:t>
      </w:r>
      <w:r w:rsidRPr="00097001">
        <w:t>) and observed the following: (1) the combined use of the first component (33.84% variance explained) and second component (15.35% variance explained) separates primarily based on the origin of the measurements (genes, gene-sets, etc</w:t>
      </w:r>
      <w:r w:rsidR="003C1FBC" w:rsidRPr="00097001">
        <w:t>.</w:t>
      </w:r>
      <w:r w:rsidRPr="00097001">
        <w:t xml:space="preserve">) and secondly the </w:t>
      </w:r>
      <w:r w:rsidRPr="00097001">
        <w:rPr>
          <w:i/>
        </w:rPr>
        <w:t>phi</w:t>
      </w:r>
      <w:r w:rsidRPr="00097001">
        <w:t xml:space="preserve"> measurements from the JC and T measurements. (2) Additionally we observed that measurements using the regular disease-gene set or the extended by PPI disease-gene set always appeared close and showed high correlation. (3) Co-occurrence based measurements, </w:t>
      </w:r>
      <w:r w:rsidRPr="00097001">
        <w:rPr>
          <w:i/>
        </w:rPr>
        <w:t>RR</w:t>
      </w:r>
      <w:r w:rsidRPr="00097001">
        <w:t xml:space="preserve"> and </w:t>
      </w:r>
      <w:r w:rsidRPr="00097001">
        <w:rPr>
          <w:i/>
        </w:rPr>
        <w:t>phi,</w:t>
      </w:r>
      <w:r w:rsidRPr="00097001">
        <w:t xml:space="preserve"> are separated from the rest. And (4) </w:t>
      </w:r>
      <w:proofErr w:type="spellStart"/>
      <w:r w:rsidRPr="00097001">
        <w:t>Biocarta</w:t>
      </w:r>
      <w:proofErr w:type="spellEnd"/>
      <w:r w:rsidRPr="00097001">
        <w:t>-based distances are outliers compared to the rest of the gene-sets. Based on those observations we decided to (</w:t>
      </w:r>
      <w:proofErr w:type="spellStart"/>
      <w:r w:rsidRPr="00097001">
        <w:t>i</w:t>
      </w:r>
      <w:proofErr w:type="spellEnd"/>
      <w:r w:rsidRPr="00097001">
        <w:t xml:space="preserve">) exclude </w:t>
      </w:r>
      <w:proofErr w:type="spellStart"/>
      <w:r w:rsidRPr="00097001">
        <w:t>Biocarta</w:t>
      </w:r>
      <w:proofErr w:type="spellEnd"/>
      <w:r w:rsidRPr="00097001">
        <w:t xml:space="preserve"> distances (as an outlier) and (ii) exclude T measurements considering that JC and T were very similar, and (iii) compute an average rank adding the ranks provided by the original gene-disease set association and the extended by PPI associations.  </w:t>
      </w:r>
    </w:p>
    <w:p w14:paraId="1C695E83" w14:textId="676C2BAA" w:rsidR="006A11A6" w:rsidRPr="00097001" w:rsidRDefault="006A11A6" w:rsidP="006A11A6">
      <w:pPr>
        <w:ind w:left="142" w:hanging="142"/>
        <w:jc w:val="both"/>
      </w:pPr>
      <w:r w:rsidRPr="00097001">
        <w:rPr>
          <w:u w:val="single"/>
        </w:rPr>
        <w:t>Step 2</w:t>
      </w:r>
      <w:r w:rsidRPr="00097001">
        <w:t xml:space="preserve">: The analysis of the new distances is provided in </w:t>
      </w:r>
      <w:r w:rsidRPr="00097001">
        <w:rPr>
          <w:b/>
        </w:rPr>
        <w:t>Fig. S</w:t>
      </w:r>
      <w:r w:rsidR="00F548A6" w:rsidRPr="00097001">
        <w:rPr>
          <w:b/>
        </w:rPr>
        <w:t>8</w:t>
      </w:r>
      <w:r w:rsidRPr="00097001">
        <w:t xml:space="preserve"> (ranked-based distance) and their projections in two dimensions in </w:t>
      </w:r>
      <w:r w:rsidRPr="00097001">
        <w:rPr>
          <w:b/>
        </w:rPr>
        <w:t>Fig. S</w:t>
      </w:r>
      <w:r w:rsidR="00F548A6" w:rsidRPr="00097001">
        <w:rPr>
          <w:b/>
        </w:rPr>
        <w:t>9</w:t>
      </w:r>
      <w:r w:rsidRPr="00097001">
        <w:t xml:space="preserve"> (PCA). Interestingly the PCA show that using first (43.67%) and second (24.86%) components the new distances are separated into 4 types: gene-driven distances, gene-set driven distances and the two co-occurrence based distances. This is a very relevant result because it highlights that the three gene-set definitions (GO, KEGG and REACTOME) provide very similar distances between DG and COPD, confirming the robustness of the approach. Furthermore, JC and </w:t>
      </w:r>
      <w:r w:rsidRPr="00097001">
        <w:rPr>
          <w:i/>
        </w:rPr>
        <w:t>phi</w:t>
      </w:r>
      <w:r w:rsidRPr="00097001">
        <w:t xml:space="preserve"> measurements are very similar. </w:t>
      </w:r>
    </w:p>
    <w:p w14:paraId="115B919F" w14:textId="75F98BFC" w:rsidR="006A11A6" w:rsidRPr="00097001" w:rsidRDefault="006A11A6" w:rsidP="006A11A6">
      <w:pPr>
        <w:ind w:left="142" w:hanging="142"/>
        <w:jc w:val="both"/>
      </w:pPr>
      <w:r w:rsidRPr="00097001">
        <w:rPr>
          <w:u w:val="single"/>
        </w:rPr>
        <w:t>Step 3</w:t>
      </w:r>
      <w:r w:rsidRPr="00097001">
        <w:t xml:space="preserve">: Based on this result we computed a ranked-based distance from the sum of the distances of the three gene-sets and a rank-based distance based on the sum of both JC and </w:t>
      </w:r>
      <w:r w:rsidRPr="00097001">
        <w:rPr>
          <w:i/>
        </w:rPr>
        <w:t>phi</w:t>
      </w:r>
      <w:r w:rsidRPr="00097001">
        <w:t xml:space="preserve"> distances for gene and gene-set distances, see </w:t>
      </w:r>
      <w:r w:rsidRPr="00097001">
        <w:rPr>
          <w:b/>
        </w:rPr>
        <w:t>Fig. 1</w:t>
      </w:r>
      <w:r w:rsidR="0041619E" w:rsidRPr="00097001">
        <w:rPr>
          <w:b/>
        </w:rPr>
        <w:t>(b)</w:t>
      </w:r>
      <w:r w:rsidRPr="00097001">
        <w:t>.</w:t>
      </w:r>
    </w:p>
    <w:p w14:paraId="09B947EE" w14:textId="77777777" w:rsidR="007E50C4" w:rsidRPr="00097001" w:rsidRDefault="007E50C4"/>
    <w:p w14:paraId="24092DA9" w14:textId="77777777" w:rsidR="007E50C4" w:rsidRPr="00097001" w:rsidRDefault="007E50C4"/>
    <w:p w14:paraId="4773CE34" w14:textId="07A1864C" w:rsidR="001F4077" w:rsidRPr="008B5C13" w:rsidRDefault="001F4077">
      <w:pPr>
        <w:rPr>
          <w:b/>
        </w:rPr>
      </w:pPr>
      <w:bookmarkStart w:id="0" w:name="_GoBack"/>
      <w:bookmarkEnd w:id="0"/>
      <w:r w:rsidRPr="00097001">
        <w:br w:type="page"/>
      </w:r>
    </w:p>
    <w:p w14:paraId="4F255108" w14:textId="224E91DB" w:rsidR="001F4077" w:rsidRPr="00097001" w:rsidRDefault="00335E1F">
      <w:pPr>
        <w:rPr>
          <w:b/>
        </w:rPr>
      </w:pPr>
      <w:r w:rsidRPr="00097001">
        <w:rPr>
          <w:b/>
        </w:rPr>
        <w:lastRenderedPageBreak/>
        <w:t>References</w:t>
      </w:r>
    </w:p>
    <w:p w14:paraId="4E569BA9" w14:textId="77777777" w:rsidR="00750FC3" w:rsidRPr="00097001" w:rsidRDefault="00750FC3"/>
    <w:p w14:paraId="0172D19E" w14:textId="503F47AB" w:rsidR="002E7707" w:rsidRPr="00097001" w:rsidRDefault="002E7707" w:rsidP="002E7707">
      <w:pPr>
        <w:widowControl w:val="0"/>
        <w:autoSpaceDE w:val="0"/>
        <w:autoSpaceDN w:val="0"/>
        <w:adjustRightInd w:val="0"/>
        <w:rPr>
          <w:rFonts w:ascii="Cambria" w:eastAsia="Times New Roman" w:hAnsi="Cambria" w:cs="Times New Roman"/>
          <w:noProof/>
        </w:rPr>
      </w:pPr>
      <w:r w:rsidRPr="00097001">
        <w:fldChar w:fldCharType="begin" w:fldLock="1"/>
      </w:r>
      <w:r w:rsidRPr="00097001">
        <w:instrText xml:space="preserve">ADDIN Mendeley Bibliography CSL_BIBLIOGRAPHY </w:instrText>
      </w:r>
      <w:r w:rsidRPr="00097001">
        <w:fldChar w:fldCharType="separate"/>
      </w:r>
      <w:r w:rsidRPr="00097001">
        <w:rPr>
          <w:rFonts w:ascii="Cambria" w:eastAsia="Times New Roman" w:hAnsi="Cambria" w:cs="Times New Roman"/>
          <w:noProof/>
        </w:rPr>
        <w:t xml:space="preserve">1. Cohen J, Cohen P, West SG, Aiken LS. Applied Multiple Regression/Correlation Analysis for the Behavioral Sciences. Routledge; 2002. </w:t>
      </w:r>
    </w:p>
    <w:p w14:paraId="2CE051C6" w14:textId="77777777" w:rsidR="002E7707" w:rsidRPr="00097001" w:rsidRDefault="002E7707" w:rsidP="002E7707">
      <w:pPr>
        <w:widowControl w:val="0"/>
        <w:autoSpaceDE w:val="0"/>
        <w:autoSpaceDN w:val="0"/>
        <w:adjustRightInd w:val="0"/>
        <w:rPr>
          <w:rFonts w:ascii="Cambria" w:eastAsia="Times New Roman" w:hAnsi="Cambria" w:cs="Times New Roman"/>
          <w:noProof/>
        </w:rPr>
      </w:pPr>
      <w:r w:rsidRPr="00097001">
        <w:rPr>
          <w:rFonts w:ascii="Cambria" w:eastAsia="Times New Roman" w:hAnsi="Cambria" w:cs="Times New Roman"/>
          <w:noProof/>
        </w:rPr>
        <w:t xml:space="preserve">2. Katz D, J. B, Azen SP, M.C. P. Obtaining Confidence Intervals for the Risk Ratio in Cohort Studies. Biometrics. 1978;34:469–74. </w:t>
      </w:r>
    </w:p>
    <w:p w14:paraId="34ADD553" w14:textId="77777777" w:rsidR="002E7707" w:rsidRPr="00097001" w:rsidRDefault="002E7707" w:rsidP="002E7707">
      <w:pPr>
        <w:widowControl w:val="0"/>
        <w:autoSpaceDE w:val="0"/>
        <w:autoSpaceDN w:val="0"/>
        <w:adjustRightInd w:val="0"/>
        <w:rPr>
          <w:rFonts w:ascii="Cambria" w:hAnsi="Cambria"/>
          <w:noProof/>
        </w:rPr>
      </w:pPr>
      <w:r w:rsidRPr="00097001">
        <w:rPr>
          <w:rFonts w:ascii="Cambria" w:eastAsia="Times New Roman" w:hAnsi="Cambria" w:cs="Times New Roman"/>
          <w:noProof/>
        </w:rPr>
        <w:t>3. Hidalgo CA, Blumm N, Barabási A-L, Christakis NA. A dynamic network approach for the study of human phenotypes. PLoS Comput. Biol. [Internet]. 2009;5:e1000353. Available from: http://journals.plos.org/ploscompbiol/article?id=10.1371/journal.pcbi.1000353</w:t>
      </w:r>
    </w:p>
    <w:p w14:paraId="6B9E70FE" w14:textId="23F921DF" w:rsidR="00750FC3" w:rsidRDefault="002E7707">
      <w:r w:rsidRPr="00097001">
        <w:fldChar w:fldCharType="end"/>
      </w:r>
    </w:p>
    <w:p w14:paraId="3861AEDE" w14:textId="77777777" w:rsidR="00750FC3" w:rsidRDefault="00750FC3"/>
    <w:sectPr w:rsidR="00750FC3" w:rsidSect="000960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C24AD"/>
    <w:multiLevelType w:val="hybridMultilevel"/>
    <w:tmpl w:val="3364FF80"/>
    <w:lvl w:ilvl="0" w:tplc="79D2D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E"/>
    <w:rsid w:val="00072326"/>
    <w:rsid w:val="0009473B"/>
    <w:rsid w:val="00096029"/>
    <w:rsid w:val="00097001"/>
    <w:rsid w:val="000B5A11"/>
    <w:rsid w:val="000C6CBC"/>
    <w:rsid w:val="000E4905"/>
    <w:rsid w:val="001244F2"/>
    <w:rsid w:val="001512B0"/>
    <w:rsid w:val="001810D0"/>
    <w:rsid w:val="00187057"/>
    <w:rsid w:val="00194068"/>
    <w:rsid w:val="001A61BC"/>
    <w:rsid w:val="001B7328"/>
    <w:rsid w:val="001E53ED"/>
    <w:rsid w:val="001F4077"/>
    <w:rsid w:val="001F77A0"/>
    <w:rsid w:val="0022340B"/>
    <w:rsid w:val="00236D5C"/>
    <w:rsid w:val="0027269C"/>
    <w:rsid w:val="00284A2D"/>
    <w:rsid w:val="002A1203"/>
    <w:rsid w:val="002B2BC0"/>
    <w:rsid w:val="002E7707"/>
    <w:rsid w:val="00335E1F"/>
    <w:rsid w:val="00361226"/>
    <w:rsid w:val="00373C3B"/>
    <w:rsid w:val="003743DC"/>
    <w:rsid w:val="00375ADF"/>
    <w:rsid w:val="003B1975"/>
    <w:rsid w:val="003C18EF"/>
    <w:rsid w:val="003C1FBC"/>
    <w:rsid w:val="003F456C"/>
    <w:rsid w:val="0041619E"/>
    <w:rsid w:val="0043217C"/>
    <w:rsid w:val="00441491"/>
    <w:rsid w:val="00445B20"/>
    <w:rsid w:val="00451597"/>
    <w:rsid w:val="00470532"/>
    <w:rsid w:val="004C128E"/>
    <w:rsid w:val="004E3BC4"/>
    <w:rsid w:val="004E409A"/>
    <w:rsid w:val="004F0BA9"/>
    <w:rsid w:val="00503BEB"/>
    <w:rsid w:val="005127C7"/>
    <w:rsid w:val="005205A8"/>
    <w:rsid w:val="00531583"/>
    <w:rsid w:val="00545D33"/>
    <w:rsid w:val="00555846"/>
    <w:rsid w:val="005C3C44"/>
    <w:rsid w:val="005E2141"/>
    <w:rsid w:val="005F673F"/>
    <w:rsid w:val="00624569"/>
    <w:rsid w:val="00634093"/>
    <w:rsid w:val="00661E15"/>
    <w:rsid w:val="00674EE0"/>
    <w:rsid w:val="00680A08"/>
    <w:rsid w:val="0069186F"/>
    <w:rsid w:val="006A11A6"/>
    <w:rsid w:val="006B3658"/>
    <w:rsid w:val="006D5297"/>
    <w:rsid w:val="0070750A"/>
    <w:rsid w:val="00707E61"/>
    <w:rsid w:val="007147E1"/>
    <w:rsid w:val="007429C7"/>
    <w:rsid w:val="00750FC3"/>
    <w:rsid w:val="00766C88"/>
    <w:rsid w:val="00790E20"/>
    <w:rsid w:val="00795A93"/>
    <w:rsid w:val="007A6D4B"/>
    <w:rsid w:val="007D3F21"/>
    <w:rsid w:val="007E50C4"/>
    <w:rsid w:val="007F1DAA"/>
    <w:rsid w:val="00824DD3"/>
    <w:rsid w:val="008300E0"/>
    <w:rsid w:val="008410CF"/>
    <w:rsid w:val="008506C7"/>
    <w:rsid w:val="00854D50"/>
    <w:rsid w:val="00856772"/>
    <w:rsid w:val="00863C13"/>
    <w:rsid w:val="008765BF"/>
    <w:rsid w:val="008923F7"/>
    <w:rsid w:val="008B5C13"/>
    <w:rsid w:val="00901097"/>
    <w:rsid w:val="0093731E"/>
    <w:rsid w:val="00941FC9"/>
    <w:rsid w:val="009463CA"/>
    <w:rsid w:val="00972AB2"/>
    <w:rsid w:val="009C7C21"/>
    <w:rsid w:val="009E79BD"/>
    <w:rsid w:val="00A0148F"/>
    <w:rsid w:val="00A227BC"/>
    <w:rsid w:val="00A23744"/>
    <w:rsid w:val="00A33DC3"/>
    <w:rsid w:val="00A433ED"/>
    <w:rsid w:val="00A52694"/>
    <w:rsid w:val="00A5273C"/>
    <w:rsid w:val="00AB04F6"/>
    <w:rsid w:val="00AB6337"/>
    <w:rsid w:val="00AB7CB3"/>
    <w:rsid w:val="00AC4046"/>
    <w:rsid w:val="00AC4B52"/>
    <w:rsid w:val="00AF6FCB"/>
    <w:rsid w:val="00B31E1E"/>
    <w:rsid w:val="00B41D0E"/>
    <w:rsid w:val="00B87E56"/>
    <w:rsid w:val="00B87FB9"/>
    <w:rsid w:val="00BB2648"/>
    <w:rsid w:val="00BD33CA"/>
    <w:rsid w:val="00BE0C1A"/>
    <w:rsid w:val="00BE7A13"/>
    <w:rsid w:val="00C01616"/>
    <w:rsid w:val="00C153CB"/>
    <w:rsid w:val="00C16A97"/>
    <w:rsid w:val="00C50D3F"/>
    <w:rsid w:val="00C57671"/>
    <w:rsid w:val="00C919B2"/>
    <w:rsid w:val="00CC1545"/>
    <w:rsid w:val="00CD29A6"/>
    <w:rsid w:val="00CF2273"/>
    <w:rsid w:val="00CF60D8"/>
    <w:rsid w:val="00D143CE"/>
    <w:rsid w:val="00D25564"/>
    <w:rsid w:val="00D33F5A"/>
    <w:rsid w:val="00D46BBD"/>
    <w:rsid w:val="00D577A8"/>
    <w:rsid w:val="00D84D64"/>
    <w:rsid w:val="00DB6FCE"/>
    <w:rsid w:val="00DE67CD"/>
    <w:rsid w:val="00DF1B48"/>
    <w:rsid w:val="00E11C1E"/>
    <w:rsid w:val="00E11C52"/>
    <w:rsid w:val="00E128BF"/>
    <w:rsid w:val="00E40A9D"/>
    <w:rsid w:val="00E6146C"/>
    <w:rsid w:val="00E839C5"/>
    <w:rsid w:val="00E8497F"/>
    <w:rsid w:val="00E93551"/>
    <w:rsid w:val="00EA127D"/>
    <w:rsid w:val="00ED72DB"/>
    <w:rsid w:val="00F04D66"/>
    <w:rsid w:val="00F06CE9"/>
    <w:rsid w:val="00F07107"/>
    <w:rsid w:val="00F113EA"/>
    <w:rsid w:val="00F5232D"/>
    <w:rsid w:val="00F548A6"/>
    <w:rsid w:val="00F6310E"/>
    <w:rsid w:val="00FA1705"/>
    <w:rsid w:val="00FA4FF8"/>
    <w:rsid w:val="00FC4AF9"/>
    <w:rsid w:val="00FC7CAA"/>
    <w:rsid w:val="00FD127B"/>
    <w:rsid w:val="00FE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703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BD"/>
    <w:pPr>
      <w:ind w:left="720"/>
      <w:contextualSpacing/>
    </w:pPr>
  </w:style>
  <w:style w:type="paragraph" w:styleId="NormalWeb">
    <w:name w:val="Normal (Web)"/>
    <w:basedOn w:val="Normal"/>
    <w:uiPriority w:val="99"/>
    <w:semiHidden/>
    <w:unhideWhenUsed/>
    <w:rsid w:val="00531583"/>
    <w:pPr>
      <w:spacing w:before="100" w:beforeAutospacing="1" w:after="100" w:afterAutospacing="1"/>
    </w:pPr>
    <w:rPr>
      <w:rFonts w:ascii="Times" w:eastAsia="MS Mincho" w:hAnsi="Times" w:cs="Times New Roman"/>
      <w:sz w:val="20"/>
      <w:szCs w:val="20"/>
    </w:rPr>
  </w:style>
  <w:style w:type="character" w:styleId="CommentReference">
    <w:name w:val="annotation reference"/>
    <w:uiPriority w:val="99"/>
    <w:unhideWhenUsed/>
    <w:rsid w:val="003C18EF"/>
    <w:rPr>
      <w:sz w:val="18"/>
      <w:szCs w:val="18"/>
    </w:rPr>
  </w:style>
  <w:style w:type="paragraph" w:styleId="CommentText">
    <w:name w:val="annotation text"/>
    <w:basedOn w:val="Normal"/>
    <w:link w:val="CommentTextChar"/>
    <w:uiPriority w:val="99"/>
    <w:unhideWhenUsed/>
    <w:rsid w:val="003C18EF"/>
    <w:rPr>
      <w:rFonts w:ascii="Cambria" w:eastAsia="MS Mincho" w:hAnsi="Cambria" w:cs="Times New Roman"/>
    </w:rPr>
  </w:style>
  <w:style w:type="character" w:customStyle="1" w:styleId="CommentTextChar">
    <w:name w:val="Comment Text Char"/>
    <w:basedOn w:val="DefaultParagraphFont"/>
    <w:link w:val="CommentText"/>
    <w:uiPriority w:val="99"/>
    <w:rsid w:val="003C18EF"/>
    <w:rPr>
      <w:rFonts w:ascii="Cambria" w:eastAsia="MS Mincho" w:hAnsi="Cambria" w:cs="Times New Roman"/>
    </w:rPr>
  </w:style>
  <w:style w:type="paragraph" w:styleId="BalloonText">
    <w:name w:val="Balloon Text"/>
    <w:basedOn w:val="Normal"/>
    <w:link w:val="BalloonTextChar"/>
    <w:uiPriority w:val="99"/>
    <w:semiHidden/>
    <w:unhideWhenUsed/>
    <w:rsid w:val="003C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7908">
      <w:bodyDiv w:val="1"/>
      <w:marLeft w:val="0"/>
      <w:marRight w:val="0"/>
      <w:marTop w:val="0"/>
      <w:marBottom w:val="0"/>
      <w:divBdr>
        <w:top w:val="none" w:sz="0" w:space="0" w:color="auto"/>
        <w:left w:val="none" w:sz="0" w:space="0" w:color="auto"/>
        <w:bottom w:val="none" w:sz="0" w:space="0" w:color="auto"/>
        <w:right w:val="none" w:sz="0" w:space="0" w:color="auto"/>
      </w:divBdr>
    </w:div>
    <w:div w:id="867455180">
      <w:bodyDiv w:val="1"/>
      <w:marLeft w:val="0"/>
      <w:marRight w:val="0"/>
      <w:marTop w:val="0"/>
      <w:marBottom w:val="0"/>
      <w:divBdr>
        <w:top w:val="none" w:sz="0" w:space="0" w:color="auto"/>
        <w:left w:val="none" w:sz="0" w:space="0" w:color="auto"/>
        <w:bottom w:val="none" w:sz="0" w:space="0" w:color="auto"/>
        <w:right w:val="none" w:sz="0" w:space="0" w:color="auto"/>
      </w:divBdr>
    </w:div>
    <w:div w:id="969554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6707</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CMM</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Gomez-Cabrero</dc:creator>
  <cp:keywords/>
  <dc:description/>
  <cp:lastModifiedBy>Microsoft Office User</cp:lastModifiedBy>
  <cp:revision>5</cp:revision>
  <dcterms:created xsi:type="dcterms:W3CDTF">2016-06-16T07:05:00Z</dcterms:created>
  <dcterms:modified xsi:type="dcterms:W3CDTF">2016-10-06T14:09:00Z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david.gomezcabrero@ki.se@www.mendeley.com</vt:lpwstr>
  </property>
  <property fmtid="{D5CDD505-2E9C-101B-9397-08002B2CF9AE}" pid="4" name="Mendeley Citation Style_1">
    <vt:lpwstr>http://www.zotero.org/styles/bmc-bioinformatics</vt:lpwstr>
  </property>
</Properties>
</file>